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8F097" w14:textId="77777777" w:rsidR="00594E6B" w:rsidRDefault="00594E6B" w:rsidP="00594E6B">
      <w:pPr>
        <w:pStyle w:val="Bezmezer"/>
        <w:ind w:firstLine="708"/>
        <w:rPr>
          <w:sz w:val="28"/>
          <w:szCs w:val="28"/>
        </w:rPr>
      </w:pPr>
      <w:r>
        <w:rPr>
          <w:sz w:val="28"/>
          <w:szCs w:val="28"/>
        </w:rPr>
        <w:t>Příloha č. 2 - Kritéria věcného hodnocení</w:t>
      </w:r>
    </w:p>
    <w:p w14:paraId="29429E8F" w14:textId="77777777" w:rsidR="00594E6B" w:rsidRDefault="00594E6B" w:rsidP="00594E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B46C39">
        <w:rPr>
          <w:sz w:val="28"/>
          <w:szCs w:val="28"/>
        </w:rPr>
        <w:t>. výzva</w:t>
      </w:r>
      <w:r>
        <w:rPr>
          <w:sz w:val="28"/>
          <w:szCs w:val="28"/>
        </w:rPr>
        <w:t xml:space="preserve"> - </w:t>
      </w:r>
      <w:r w:rsidRPr="00B46C39">
        <w:rPr>
          <w:sz w:val="28"/>
          <w:szCs w:val="28"/>
        </w:rPr>
        <w:t>Otevřené zahrady Jičínska z. s. – IROP – Podpora složek IZS</w:t>
      </w:r>
      <w:r>
        <w:rPr>
          <w:sz w:val="28"/>
          <w:szCs w:val="28"/>
        </w:rPr>
        <w:t xml:space="preserve"> – </w:t>
      </w:r>
      <w:r w:rsidR="00E70206">
        <w:rPr>
          <w:sz w:val="28"/>
          <w:szCs w:val="28"/>
        </w:rPr>
        <w:t>zodolnění stanic</w:t>
      </w:r>
      <w:r>
        <w:rPr>
          <w:sz w:val="28"/>
          <w:szCs w:val="28"/>
        </w:rPr>
        <w:t xml:space="preserve"> IZS</w:t>
      </w:r>
    </w:p>
    <w:p w14:paraId="7BC99549" w14:textId="77777777" w:rsidR="00E66934" w:rsidRPr="00E66934" w:rsidRDefault="00E66934" w:rsidP="00E66934">
      <w:pPr>
        <w:tabs>
          <w:tab w:val="left" w:pos="1829"/>
        </w:tabs>
        <w:spacing w:after="48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TableGrid1"/>
        <w:tblW w:w="14538" w:type="dxa"/>
        <w:jc w:val="center"/>
        <w:tblInd w:w="0" w:type="dxa"/>
        <w:tblCellMar>
          <w:left w:w="35" w:type="dxa"/>
          <w:right w:w="87" w:type="dxa"/>
        </w:tblCellMar>
        <w:tblLook w:val="04A0" w:firstRow="1" w:lastRow="0" w:firstColumn="1" w:lastColumn="0" w:noHBand="0" w:noVBand="1"/>
      </w:tblPr>
      <w:tblGrid>
        <w:gridCol w:w="1725"/>
        <w:gridCol w:w="4042"/>
        <w:gridCol w:w="2006"/>
        <w:gridCol w:w="3485"/>
        <w:gridCol w:w="37"/>
        <w:gridCol w:w="3243"/>
      </w:tblGrid>
      <w:tr w:rsidR="00A5722B" w:rsidRPr="00594E6B" w14:paraId="3416D60A" w14:textId="77777777" w:rsidTr="00594E6B">
        <w:trPr>
          <w:trHeight w:val="633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7F70FA57" w14:textId="77777777" w:rsidR="00040924" w:rsidRPr="00594E6B" w:rsidRDefault="00A10621" w:rsidP="00A10621">
            <w:pPr>
              <w:spacing w:line="259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Kritérium</w:t>
            </w:r>
          </w:p>
        </w:tc>
        <w:tc>
          <w:tcPr>
            <w:tcW w:w="40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2C40E04E" w14:textId="77777777" w:rsidR="00040924" w:rsidRPr="00594E6B" w:rsidRDefault="00A10621" w:rsidP="008F4208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Popis preferenčního</w:t>
            </w:r>
            <w:r w:rsidR="00040924" w:rsidRPr="00594E6B">
              <w:rPr>
                <w:rFonts w:asciiTheme="minorHAnsi" w:hAnsiTheme="minorHAnsi" w:cstheme="minorHAnsi"/>
                <w:sz w:val="20"/>
                <w:szCs w:val="20"/>
              </w:rPr>
              <w:t xml:space="preserve"> kritéria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4FE9DE30" w14:textId="77777777" w:rsidR="00040924" w:rsidRPr="00594E6B" w:rsidRDefault="00A10621" w:rsidP="00A1062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59FDA6B6" w14:textId="77777777" w:rsidR="00040924" w:rsidRPr="00594E6B" w:rsidRDefault="00A10621" w:rsidP="008F4208">
            <w:pPr>
              <w:spacing w:line="259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Charakteristika přiděleného počtu bodů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72F174B2" w14:textId="77777777" w:rsidR="00040924" w:rsidRPr="00594E6B" w:rsidRDefault="00E55625" w:rsidP="00E03E0F">
            <w:pPr>
              <w:spacing w:line="259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Referenční dokumenty</w:t>
            </w:r>
          </w:p>
        </w:tc>
      </w:tr>
      <w:tr w:rsidR="00594E6B" w:rsidRPr="00594E6B" w14:paraId="26B6A193" w14:textId="77777777" w:rsidTr="00B047DE">
        <w:trPr>
          <w:trHeight w:hRule="exact" w:val="567"/>
          <w:jc w:val="center"/>
        </w:trPr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B1DFD65" w14:textId="77777777" w:rsidR="00594E6B" w:rsidRPr="00594E6B" w:rsidRDefault="00594E6B" w:rsidP="00594E6B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  <w:r w:rsidRPr="00594E6B">
              <w:rPr>
                <w:sz w:val="20"/>
                <w:szCs w:val="20"/>
                <w:shd w:val="clear" w:color="auto" w:fill="DEEAF6" w:themeFill="accent5" w:themeFillTint="33"/>
              </w:rPr>
              <w:t>1.</w:t>
            </w:r>
          </w:p>
          <w:p w14:paraId="788EFBA2" w14:textId="77777777" w:rsidR="00594E6B" w:rsidRPr="00594E6B" w:rsidRDefault="00594E6B" w:rsidP="00594E6B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  <w:r w:rsidRPr="00594E6B">
              <w:rPr>
                <w:sz w:val="20"/>
                <w:szCs w:val="20"/>
                <w:shd w:val="clear" w:color="auto" w:fill="DEEAF6" w:themeFill="accent5" w:themeFillTint="33"/>
              </w:rPr>
              <w:t>Počet obyvatel v obci, ve které je projekt realizován</w:t>
            </w:r>
          </w:p>
        </w:tc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85E14" w14:textId="77777777" w:rsidR="00594E6B" w:rsidRPr="00594E6B" w:rsidRDefault="00594E6B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Projekt je realizován v obci do 2000 obyvatel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1DF237" w14:textId="77777777" w:rsidR="00594E6B" w:rsidRPr="00594E6B" w:rsidRDefault="00594E6B" w:rsidP="00594E6B">
            <w:pPr>
              <w:ind w:left="22"/>
              <w:jc w:val="center"/>
              <w:rPr>
                <w:sz w:val="20"/>
                <w:szCs w:val="20"/>
              </w:rPr>
            </w:pPr>
            <w:r w:rsidRPr="00594E6B">
              <w:rPr>
                <w:sz w:val="20"/>
                <w:szCs w:val="20"/>
              </w:rPr>
              <w:t>20</w:t>
            </w:r>
          </w:p>
        </w:tc>
        <w:tc>
          <w:tcPr>
            <w:tcW w:w="3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216BA" w14:textId="77777777" w:rsidR="00594E6B" w:rsidRPr="00594E6B" w:rsidRDefault="00594E6B" w:rsidP="00594E6B">
            <w:pPr>
              <w:rPr>
                <w:b w:val="0"/>
                <w:sz w:val="20"/>
                <w:szCs w:val="20"/>
              </w:rPr>
            </w:pPr>
            <w:r w:rsidRPr="00594E6B">
              <w:rPr>
                <w:b w:val="0"/>
                <w:sz w:val="20"/>
                <w:szCs w:val="20"/>
              </w:rPr>
              <w:t>Posuzuje se velikost obce k 1. 1. 2018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EA307" w14:textId="77777777" w:rsidR="00594E6B" w:rsidRPr="00594E6B" w:rsidRDefault="00594E6B" w:rsidP="00594E6B">
            <w:pPr>
              <w:jc w:val="center"/>
              <w:rPr>
                <w:b w:val="0"/>
                <w:sz w:val="20"/>
                <w:szCs w:val="20"/>
              </w:rPr>
            </w:pPr>
            <w:r w:rsidRPr="00594E6B">
              <w:rPr>
                <w:b w:val="0"/>
                <w:sz w:val="20"/>
                <w:szCs w:val="20"/>
              </w:rPr>
              <w:t>Žádost o podporu</w:t>
            </w:r>
          </w:p>
          <w:p w14:paraId="73112BFD" w14:textId="77777777" w:rsidR="00594E6B" w:rsidRPr="00594E6B" w:rsidRDefault="00594E6B" w:rsidP="00594E6B">
            <w:pPr>
              <w:jc w:val="center"/>
              <w:rPr>
                <w:b w:val="0"/>
                <w:sz w:val="20"/>
                <w:szCs w:val="20"/>
              </w:rPr>
            </w:pPr>
          </w:p>
          <w:p w14:paraId="74D1910D" w14:textId="77777777" w:rsidR="00594E6B" w:rsidRDefault="00594E6B" w:rsidP="00594E6B">
            <w:pPr>
              <w:ind w:left="21"/>
              <w:jc w:val="center"/>
              <w:rPr>
                <w:sz w:val="18"/>
                <w:szCs w:val="18"/>
              </w:rPr>
            </w:pPr>
            <w:r w:rsidRPr="00594E6B">
              <w:rPr>
                <w:b w:val="0"/>
                <w:sz w:val="20"/>
                <w:szCs w:val="20"/>
              </w:rPr>
              <w:t>Statistické údaje k 1.</w:t>
            </w:r>
            <w:r w:rsidR="0050723E">
              <w:rPr>
                <w:b w:val="0"/>
                <w:sz w:val="20"/>
                <w:szCs w:val="20"/>
              </w:rPr>
              <w:t xml:space="preserve"> </w:t>
            </w:r>
            <w:r w:rsidRPr="00594E6B">
              <w:rPr>
                <w:b w:val="0"/>
                <w:sz w:val="20"/>
                <w:szCs w:val="20"/>
              </w:rPr>
              <w:t>1.</w:t>
            </w:r>
            <w:r w:rsidR="0050723E">
              <w:rPr>
                <w:b w:val="0"/>
                <w:sz w:val="20"/>
                <w:szCs w:val="20"/>
              </w:rPr>
              <w:t xml:space="preserve"> </w:t>
            </w:r>
            <w:r w:rsidRPr="00594E6B">
              <w:rPr>
                <w:b w:val="0"/>
                <w:sz w:val="20"/>
                <w:szCs w:val="20"/>
              </w:rPr>
              <w:t xml:space="preserve">2018 </w:t>
            </w:r>
            <w:r w:rsidRPr="00594E6B">
              <w:rPr>
                <w:b w:val="0"/>
                <w:sz w:val="20"/>
                <w:szCs w:val="20"/>
              </w:rPr>
              <w:br/>
            </w:r>
            <w:hyperlink r:id="rId8" w:history="1">
              <w:r w:rsidRPr="00594E6B">
                <w:rPr>
                  <w:rStyle w:val="Hypertextovodkaz"/>
                  <w:sz w:val="20"/>
                  <w:szCs w:val="20"/>
                </w:rPr>
                <w:t>https://www.czso.cz/csu/czso/pocet-obyvatel-v-obcich</w:t>
              </w:r>
            </w:hyperlink>
          </w:p>
        </w:tc>
      </w:tr>
      <w:tr w:rsidR="00594E6B" w:rsidRPr="00594E6B" w14:paraId="122F66BD" w14:textId="77777777" w:rsidTr="00B047DE">
        <w:trPr>
          <w:trHeight w:hRule="exact" w:val="567"/>
          <w:jc w:val="center"/>
        </w:trPr>
        <w:tc>
          <w:tcPr>
            <w:tcW w:w="1725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7615600" w14:textId="77777777" w:rsidR="00594E6B" w:rsidRPr="00594E6B" w:rsidRDefault="00594E6B" w:rsidP="00594E6B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D106B" w14:textId="77777777" w:rsidR="00594E6B" w:rsidRPr="00594E6B" w:rsidRDefault="00594E6B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Projekt je realizován v obci s počtem 2001 až 3000 obyvatel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DBD194" w14:textId="77777777" w:rsidR="00594E6B" w:rsidRPr="00594E6B" w:rsidRDefault="00594E6B" w:rsidP="00594E6B">
            <w:pPr>
              <w:ind w:left="22"/>
              <w:jc w:val="center"/>
              <w:rPr>
                <w:sz w:val="20"/>
                <w:szCs w:val="20"/>
              </w:rPr>
            </w:pPr>
            <w:r w:rsidRPr="00594E6B">
              <w:rPr>
                <w:sz w:val="20"/>
                <w:szCs w:val="20"/>
              </w:rPr>
              <w:t>10</w:t>
            </w:r>
          </w:p>
        </w:tc>
        <w:tc>
          <w:tcPr>
            <w:tcW w:w="34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40C94" w14:textId="77777777" w:rsidR="00594E6B" w:rsidRPr="00594E6B" w:rsidRDefault="00594E6B" w:rsidP="00594E6B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1638698" w14:textId="77777777" w:rsidR="00594E6B" w:rsidRPr="00594E6B" w:rsidRDefault="00594E6B" w:rsidP="00594E6B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94E6B" w:rsidRPr="00594E6B" w14:paraId="0DC2CE52" w14:textId="77777777" w:rsidTr="00B047DE">
        <w:trPr>
          <w:trHeight w:hRule="exact" w:val="567"/>
          <w:jc w:val="center"/>
        </w:trPr>
        <w:tc>
          <w:tcPr>
            <w:tcW w:w="1725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F851B54" w14:textId="77777777" w:rsidR="00594E6B" w:rsidRPr="00594E6B" w:rsidRDefault="00594E6B" w:rsidP="00594E6B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647F8" w14:textId="77777777" w:rsidR="00594E6B" w:rsidRPr="00594E6B" w:rsidRDefault="00594E6B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Projekt je realizován v obci nad 3000 obyvatel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4B3E8DD" w14:textId="77777777" w:rsidR="00594E6B" w:rsidRPr="00594E6B" w:rsidRDefault="00594E6B" w:rsidP="00594E6B">
            <w:pPr>
              <w:ind w:left="22"/>
              <w:jc w:val="center"/>
              <w:rPr>
                <w:sz w:val="20"/>
                <w:szCs w:val="20"/>
              </w:rPr>
            </w:pPr>
            <w:r w:rsidRPr="00594E6B">
              <w:rPr>
                <w:sz w:val="20"/>
                <w:szCs w:val="20"/>
              </w:rPr>
              <w:t>0</w:t>
            </w:r>
          </w:p>
        </w:tc>
        <w:tc>
          <w:tcPr>
            <w:tcW w:w="34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90BD4" w14:textId="77777777" w:rsidR="00594E6B" w:rsidRPr="00594E6B" w:rsidRDefault="00594E6B" w:rsidP="00594E6B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1477791" w14:textId="77777777" w:rsidR="00594E6B" w:rsidRPr="00594E6B" w:rsidRDefault="00594E6B" w:rsidP="00594E6B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0723E" w:rsidRPr="00594E6B" w14:paraId="676E7583" w14:textId="77777777" w:rsidTr="00A862C6">
        <w:trPr>
          <w:trHeight w:hRule="exact" w:val="1021"/>
          <w:jc w:val="center"/>
        </w:trPr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571CEB3" w14:textId="77777777" w:rsidR="0050723E" w:rsidRPr="00594E6B" w:rsidRDefault="0050723E" w:rsidP="0050723E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  <w:r w:rsidRPr="00594E6B">
              <w:rPr>
                <w:sz w:val="20"/>
                <w:szCs w:val="20"/>
                <w:shd w:val="clear" w:color="auto" w:fill="DEEAF6" w:themeFill="accent5" w:themeFillTint="33"/>
              </w:rPr>
              <w:t>2.</w:t>
            </w:r>
          </w:p>
          <w:p w14:paraId="7A135143" w14:textId="77777777" w:rsidR="0050723E" w:rsidRPr="00594E6B" w:rsidRDefault="0050723E" w:rsidP="0050723E">
            <w:pPr>
              <w:spacing w:line="259" w:lineRule="auto"/>
              <w:ind w:left="5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sz w:val="20"/>
                <w:szCs w:val="20"/>
              </w:rPr>
              <w:t>Stupeň nebezpečí v katastrálním území obce</w:t>
            </w:r>
          </w:p>
        </w:tc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2165EF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Místo realizace projektu leží v obci se stupněm</w:t>
            </w:r>
          </w:p>
          <w:p w14:paraId="66505F8F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nebezpečí </w:t>
            </w: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III B</w:t>
            </w: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dle přílohy č. 1 k nařízení</w:t>
            </w:r>
          </w:p>
          <w:p w14:paraId="346ED3B5" w14:textId="77777777" w:rsidR="0050723E" w:rsidRPr="00594E6B" w:rsidRDefault="0050723E" w:rsidP="00B04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KH kraje č. 4/2016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C89AB" w14:textId="77777777" w:rsidR="0050723E" w:rsidRPr="0050723E" w:rsidRDefault="0050723E" w:rsidP="0050723E">
            <w:pPr>
              <w:ind w:left="22"/>
              <w:jc w:val="center"/>
              <w:rPr>
                <w:sz w:val="20"/>
                <w:szCs w:val="20"/>
              </w:rPr>
            </w:pPr>
            <w:r w:rsidRPr="0050723E">
              <w:rPr>
                <w:sz w:val="20"/>
                <w:szCs w:val="20"/>
              </w:rPr>
              <w:t>20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A2077" w14:textId="77777777" w:rsidR="0050723E" w:rsidRDefault="0050723E" w:rsidP="0050723E">
            <w:pPr>
              <w:rPr>
                <w:b w:val="0"/>
                <w:sz w:val="20"/>
                <w:szCs w:val="20"/>
              </w:rPr>
            </w:pPr>
            <w:r w:rsidRPr="0050723E">
              <w:rPr>
                <w:b w:val="0"/>
                <w:sz w:val="20"/>
                <w:szCs w:val="20"/>
              </w:rPr>
              <w:t xml:space="preserve">Hodnotitel přidělí </w:t>
            </w:r>
            <w:r w:rsidRPr="0050723E">
              <w:rPr>
                <w:sz w:val="20"/>
                <w:szCs w:val="20"/>
              </w:rPr>
              <w:t>20, 15, 10 nebo 5 bodů</w:t>
            </w:r>
            <w:r w:rsidRPr="0050723E">
              <w:rPr>
                <w:b w:val="0"/>
                <w:sz w:val="20"/>
                <w:szCs w:val="20"/>
              </w:rPr>
              <w:t xml:space="preserve">, pokud bude ve studii proveditelnosti žadatelem popsáno, v jakém stupni nebezpečí se obec, ve které se projekt realizuje, nachází. Uvedený stupeň nebezpečí musí vycházet z </w:t>
            </w:r>
            <w:r w:rsidRPr="0050723E">
              <w:rPr>
                <w:sz w:val="20"/>
                <w:szCs w:val="20"/>
              </w:rPr>
              <w:t>Přílohy č. 1 k Nařízení K</w:t>
            </w:r>
            <w:r>
              <w:rPr>
                <w:sz w:val="20"/>
                <w:szCs w:val="20"/>
              </w:rPr>
              <w:t>H kraj</w:t>
            </w:r>
            <w:r w:rsidRPr="0050723E">
              <w:rPr>
                <w:sz w:val="20"/>
                <w:szCs w:val="20"/>
              </w:rPr>
              <w:t>e č. 4/2016</w:t>
            </w:r>
            <w:r w:rsidRPr="0050723E">
              <w:rPr>
                <w:b w:val="0"/>
                <w:sz w:val="20"/>
                <w:szCs w:val="20"/>
              </w:rPr>
              <w:t>, ze dne 19. 9. 2016, kterým se stanovují podmínky k zabezpečení plošného pokrytí území K</w:t>
            </w:r>
            <w:r>
              <w:rPr>
                <w:b w:val="0"/>
                <w:sz w:val="20"/>
                <w:szCs w:val="20"/>
              </w:rPr>
              <w:t xml:space="preserve">H </w:t>
            </w:r>
            <w:r w:rsidRPr="0050723E">
              <w:rPr>
                <w:b w:val="0"/>
                <w:sz w:val="20"/>
                <w:szCs w:val="20"/>
              </w:rPr>
              <w:t xml:space="preserve"> kraje jednotkami požární ochrany (Věstník právních předpisů KHK, 2016, částka 8).</w:t>
            </w:r>
          </w:p>
          <w:p w14:paraId="0FBC49AE" w14:textId="77777777" w:rsidR="0050723E" w:rsidRPr="0050723E" w:rsidRDefault="0050723E" w:rsidP="0050723E">
            <w:pPr>
              <w:rPr>
                <w:b w:val="0"/>
                <w:sz w:val="8"/>
                <w:szCs w:val="8"/>
              </w:rPr>
            </w:pPr>
          </w:p>
          <w:p w14:paraId="45634086" w14:textId="77777777" w:rsidR="0050723E" w:rsidRPr="0050723E" w:rsidRDefault="0050723E" w:rsidP="0050723E">
            <w:pPr>
              <w:rPr>
                <w:b w:val="0"/>
                <w:sz w:val="20"/>
                <w:szCs w:val="20"/>
              </w:rPr>
            </w:pPr>
            <w:r w:rsidRPr="0050723E">
              <w:rPr>
                <w:b w:val="0"/>
                <w:sz w:val="20"/>
                <w:szCs w:val="20"/>
              </w:rPr>
              <w:t xml:space="preserve">Hodnotitel přidělí </w:t>
            </w:r>
            <w:r w:rsidRPr="0050723E">
              <w:rPr>
                <w:sz w:val="20"/>
                <w:szCs w:val="20"/>
              </w:rPr>
              <w:t>0 bodů</w:t>
            </w:r>
            <w:r w:rsidRPr="0050723E">
              <w:rPr>
                <w:b w:val="0"/>
                <w:sz w:val="20"/>
                <w:szCs w:val="20"/>
              </w:rPr>
              <w:t xml:space="preserve"> v případě, že žadatel ve studii proveditelnosti nepopíše, v jakém stupni nebezpečí se dle přílohy č. 1 k nařízení K</w:t>
            </w:r>
            <w:r>
              <w:rPr>
                <w:b w:val="0"/>
                <w:sz w:val="20"/>
                <w:szCs w:val="20"/>
              </w:rPr>
              <w:t xml:space="preserve">H kraje </w:t>
            </w:r>
            <w:r w:rsidRPr="0050723E">
              <w:rPr>
                <w:b w:val="0"/>
                <w:sz w:val="20"/>
                <w:szCs w:val="20"/>
              </w:rPr>
              <w:t>č. 4/2016 obec, ve které se projekt realizuje, nachází.</w:t>
            </w:r>
          </w:p>
        </w:tc>
        <w:tc>
          <w:tcPr>
            <w:tcW w:w="3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F23E2" w14:textId="77777777" w:rsidR="0050723E" w:rsidRPr="0050723E" w:rsidRDefault="0050723E" w:rsidP="005072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</w:pPr>
            <w:r w:rsidRPr="0050723E"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  <w:t>Žádost o dotaci</w:t>
            </w:r>
          </w:p>
          <w:p w14:paraId="5900485A" w14:textId="77777777" w:rsidR="0050723E" w:rsidRPr="0050723E" w:rsidRDefault="0050723E" w:rsidP="005072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</w:pPr>
          </w:p>
          <w:p w14:paraId="7AE487D2" w14:textId="77777777" w:rsidR="0050723E" w:rsidRPr="0050723E" w:rsidRDefault="0050723E" w:rsidP="005072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</w:pPr>
            <w:r w:rsidRPr="0050723E"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  <w:t>Studie proveditelnosti</w:t>
            </w:r>
            <w:r w:rsidR="00DA51E8"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  <w:t xml:space="preserve"> – kapitola </w:t>
            </w:r>
            <w:r w:rsidR="00DA51E8"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  <w:br/>
              <w:t>5. Zdůvodnění potřebnosti realizace projektu</w:t>
            </w:r>
          </w:p>
          <w:p w14:paraId="2C3B8F68" w14:textId="77777777" w:rsidR="0050723E" w:rsidRPr="0050723E" w:rsidRDefault="0050723E" w:rsidP="005072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</w:pPr>
          </w:p>
          <w:p w14:paraId="03F95609" w14:textId="77777777" w:rsidR="0050723E" w:rsidRPr="0050723E" w:rsidRDefault="0050723E" w:rsidP="005072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</w:pPr>
            <w:r w:rsidRPr="0050723E"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  <w:t>Příloha č. 1 k Nařízení Královéhradeckého kraje č. 4/2016, ze dne 19. 9. 2016, kterým se stanovují podmínky k zabezpečení plošného pokrytí území Královéhradeckého kraje jednotkami požární ochrany (Věstník právních předpisů KHK, 2016,</w:t>
            </w:r>
          </w:p>
          <w:p w14:paraId="0F66552A" w14:textId="77777777" w:rsidR="0050723E" w:rsidRDefault="0050723E" w:rsidP="0050723E">
            <w:pPr>
              <w:ind w:left="21"/>
              <w:jc w:val="center"/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</w:pPr>
            <w:r w:rsidRPr="0050723E">
              <w:rPr>
                <w:rFonts w:asciiTheme="minorHAnsi" w:eastAsiaTheme="minorEastAsia" w:hAnsiTheme="minorHAnsi" w:cs="CIDFont+F2"/>
                <w:b w:val="0"/>
                <w:color w:val="auto"/>
                <w:sz w:val="20"/>
                <w:szCs w:val="20"/>
              </w:rPr>
              <w:t>částka 8)</w:t>
            </w:r>
          </w:p>
          <w:p w14:paraId="63DDE115" w14:textId="77777777" w:rsidR="00456006" w:rsidRPr="0050723E" w:rsidRDefault="00A862C6" w:rsidP="0050723E">
            <w:pPr>
              <w:ind w:left="21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Pr="001B7907">
                <w:rPr>
                  <w:rStyle w:val="Hypertextovodkaz"/>
                  <w:rFonts w:asciiTheme="minorHAnsi" w:hAnsiTheme="minorHAnsi"/>
                  <w:sz w:val="20"/>
                  <w:szCs w:val="20"/>
                </w:rPr>
                <w:t>http://www.kr-kralovehradecky.cz/cz/kraj-volene-organy/vyhlasky-narizeni/vestnik-pravnich-predpisu-kralovehradeckeho-kraje-223/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210BEA4" w14:textId="77777777" w:rsidR="0050723E" w:rsidRPr="0050723E" w:rsidRDefault="0050723E" w:rsidP="0050723E">
            <w:pPr>
              <w:rPr>
                <w:sz w:val="20"/>
                <w:szCs w:val="20"/>
              </w:rPr>
            </w:pPr>
          </w:p>
        </w:tc>
      </w:tr>
      <w:tr w:rsidR="0050723E" w:rsidRPr="00594E6B" w14:paraId="6B3FC50E" w14:textId="77777777" w:rsidTr="00A862C6">
        <w:trPr>
          <w:cantSplit/>
          <w:trHeight w:hRule="exact" w:val="1021"/>
          <w:jc w:val="center"/>
        </w:trPr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39F1DED" w14:textId="77777777" w:rsidR="0050723E" w:rsidRPr="00594E6B" w:rsidRDefault="0050723E" w:rsidP="0050723E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BBFD3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Místo realizace projektu leží v obci se stupněm </w:t>
            </w:r>
          </w:p>
          <w:p w14:paraId="270ADA5F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nebezpečí </w:t>
            </w: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III A</w:t>
            </w: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dle přílohy č. 1 k nařízení</w:t>
            </w:r>
          </w:p>
          <w:p w14:paraId="66682462" w14:textId="77777777" w:rsidR="0050723E" w:rsidRPr="00B047DE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KH kraje č. 4/2016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48B472" w14:textId="77777777" w:rsidR="0050723E" w:rsidRPr="0050723E" w:rsidRDefault="0050723E" w:rsidP="0050723E">
            <w:pPr>
              <w:ind w:left="22"/>
              <w:jc w:val="center"/>
              <w:rPr>
                <w:sz w:val="20"/>
                <w:szCs w:val="20"/>
              </w:rPr>
            </w:pPr>
            <w:r w:rsidRPr="0050723E">
              <w:rPr>
                <w:sz w:val="20"/>
                <w:szCs w:val="20"/>
              </w:rPr>
              <w:t>15</w:t>
            </w:r>
          </w:p>
        </w:tc>
        <w:tc>
          <w:tcPr>
            <w:tcW w:w="35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F4205" w14:textId="77777777" w:rsidR="0050723E" w:rsidRPr="00594E6B" w:rsidRDefault="0050723E" w:rsidP="0050723E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49407" w14:textId="77777777" w:rsidR="0050723E" w:rsidRPr="00594E6B" w:rsidRDefault="0050723E" w:rsidP="0050723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0723E" w:rsidRPr="00594E6B" w14:paraId="677F47E6" w14:textId="77777777" w:rsidTr="00A862C6">
        <w:trPr>
          <w:cantSplit/>
          <w:trHeight w:hRule="exact" w:val="1021"/>
          <w:jc w:val="center"/>
        </w:trPr>
        <w:tc>
          <w:tcPr>
            <w:tcW w:w="1725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8779550" w14:textId="77777777" w:rsidR="0050723E" w:rsidRPr="00594E6B" w:rsidRDefault="0050723E" w:rsidP="0050723E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7CED7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Místo realizace projektu leží v obci se stupněm </w:t>
            </w:r>
          </w:p>
          <w:p w14:paraId="36B6F176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nebezpečí </w:t>
            </w: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II B</w:t>
            </w: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dle přílohy č. 1 k nařízení</w:t>
            </w:r>
          </w:p>
          <w:p w14:paraId="235A1050" w14:textId="77777777" w:rsidR="0050723E" w:rsidRPr="00594E6B" w:rsidRDefault="0050723E" w:rsidP="00B047DE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KH kraje č. 4/2016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309BBD" w14:textId="77777777" w:rsidR="0050723E" w:rsidRPr="0050723E" w:rsidRDefault="0050723E" w:rsidP="0050723E">
            <w:pPr>
              <w:ind w:left="22"/>
              <w:jc w:val="center"/>
              <w:rPr>
                <w:sz w:val="20"/>
                <w:szCs w:val="20"/>
              </w:rPr>
            </w:pPr>
            <w:r w:rsidRPr="0050723E">
              <w:rPr>
                <w:sz w:val="20"/>
                <w:szCs w:val="20"/>
              </w:rPr>
              <w:t>10</w:t>
            </w:r>
          </w:p>
        </w:tc>
        <w:tc>
          <w:tcPr>
            <w:tcW w:w="35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370DC" w14:textId="77777777" w:rsidR="0050723E" w:rsidRPr="00594E6B" w:rsidRDefault="0050723E" w:rsidP="0050723E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9D8189" w14:textId="77777777" w:rsidR="0050723E" w:rsidRPr="00594E6B" w:rsidRDefault="0050723E" w:rsidP="0050723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0723E" w:rsidRPr="00594E6B" w14:paraId="57201377" w14:textId="77777777" w:rsidTr="00A862C6">
        <w:trPr>
          <w:cantSplit/>
          <w:trHeight w:hRule="exact" w:val="1021"/>
          <w:jc w:val="center"/>
        </w:trPr>
        <w:tc>
          <w:tcPr>
            <w:tcW w:w="1725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8F6284F" w14:textId="77777777" w:rsidR="0050723E" w:rsidRPr="00594E6B" w:rsidRDefault="0050723E" w:rsidP="0050723E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52BCD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Místo realizace projektu leží v obci se stupněm </w:t>
            </w:r>
          </w:p>
          <w:p w14:paraId="481E2DCA" w14:textId="77777777" w:rsidR="0050723E" w:rsidRPr="00594E6B" w:rsidRDefault="0050723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nebezpečí </w:t>
            </w: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II A</w:t>
            </w: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dle přílohy č. 1 k nařízení</w:t>
            </w:r>
          </w:p>
          <w:p w14:paraId="48CF81D0" w14:textId="77777777" w:rsidR="0050723E" w:rsidRPr="00594E6B" w:rsidRDefault="0050723E" w:rsidP="00B047DE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b w:val="0"/>
                <w:sz w:val="20"/>
                <w:szCs w:val="20"/>
              </w:rPr>
              <w:t>KH kraje č. 4/2016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3E3D3" w14:textId="77777777" w:rsidR="0050723E" w:rsidRPr="0050723E" w:rsidRDefault="0050723E" w:rsidP="0050723E">
            <w:pPr>
              <w:ind w:left="22"/>
              <w:jc w:val="center"/>
              <w:rPr>
                <w:sz w:val="20"/>
                <w:szCs w:val="20"/>
              </w:rPr>
            </w:pPr>
            <w:r w:rsidRPr="0050723E">
              <w:rPr>
                <w:sz w:val="20"/>
                <w:szCs w:val="20"/>
              </w:rPr>
              <w:t>5</w:t>
            </w:r>
          </w:p>
        </w:tc>
        <w:tc>
          <w:tcPr>
            <w:tcW w:w="35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7F8A3" w14:textId="77777777" w:rsidR="0050723E" w:rsidRPr="00594E6B" w:rsidRDefault="0050723E" w:rsidP="0050723E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14A36AB" w14:textId="77777777" w:rsidR="0050723E" w:rsidRPr="00594E6B" w:rsidRDefault="0050723E" w:rsidP="0050723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0723E" w:rsidRPr="00594E6B" w14:paraId="635E3600" w14:textId="77777777" w:rsidTr="00A862C6">
        <w:trPr>
          <w:cantSplit/>
          <w:trHeight w:hRule="exact" w:val="1021"/>
          <w:jc w:val="center"/>
        </w:trPr>
        <w:tc>
          <w:tcPr>
            <w:tcW w:w="1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49791CD" w14:textId="77777777" w:rsidR="0050723E" w:rsidRPr="00594E6B" w:rsidRDefault="0050723E" w:rsidP="0050723E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12995" w14:textId="77777777" w:rsidR="0050723E" w:rsidRPr="00B047DE" w:rsidRDefault="0050723E" w:rsidP="00B047D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</w:pPr>
            <w:r w:rsidRPr="00594E6B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Žadatel nedoložil, v jakém stupni nebezpečí se podle přílohy č. 1 k nařízení KH kraje č. 4/2016 obec, ve které projekt realizuje, nachází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5173E" w14:textId="77777777" w:rsidR="0050723E" w:rsidRPr="0050723E" w:rsidRDefault="0050723E" w:rsidP="0050723E">
            <w:pPr>
              <w:ind w:left="22"/>
              <w:jc w:val="center"/>
              <w:rPr>
                <w:sz w:val="20"/>
                <w:szCs w:val="20"/>
              </w:rPr>
            </w:pPr>
            <w:r w:rsidRPr="0050723E">
              <w:rPr>
                <w:sz w:val="20"/>
                <w:szCs w:val="20"/>
              </w:rPr>
              <w:t>0</w:t>
            </w:r>
          </w:p>
        </w:tc>
        <w:tc>
          <w:tcPr>
            <w:tcW w:w="352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95E65" w14:textId="77777777" w:rsidR="0050723E" w:rsidRPr="00594E6B" w:rsidRDefault="0050723E" w:rsidP="0050723E">
            <w:pPr>
              <w:spacing w:after="264" w:line="259" w:lineRule="auto"/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71D5C" w14:textId="77777777" w:rsidR="0050723E" w:rsidRPr="00594E6B" w:rsidRDefault="0050723E" w:rsidP="0050723E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304A8733" w14:textId="77777777" w:rsidR="00240CD5" w:rsidRDefault="00240CD5" w:rsidP="00B63A45">
      <w:pPr>
        <w:ind w:right="569"/>
      </w:pPr>
    </w:p>
    <w:tbl>
      <w:tblPr>
        <w:tblStyle w:val="TableGrid1"/>
        <w:tblW w:w="1453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35" w:type="dxa"/>
          <w:right w:w="87" w:type="dxa"/>
        </w:tblCellMar>
        <w:tblLook w:val="04A0" w:firstRow="1" w:lastRow="0" w:firstColumn="1" w:lastColumn="0" w:noHBand="0" w:noVBand="1"/>
      </w:tblPr>
      <w:tblGrid>
        <w:gridCol w:w="1798"/>
        <w:gridCol w:w="3969"/>
        <w:gridCol w:w="1984"/>
        <w:gridCol w:w="22"/>
        <w:gridCol w:w="3477"/>
        <w:gridCol w:w="8"/>
        <w:gridCol w:w="8"/>
        <w:gridCol w:w="3272"/>
      </w:tblGrid>
      <w:tr w:rsidR="0050723E" w:rsidRPr="00594E6B" w14:paraId="0AC84BE9" w14:textId="77777777" w:rsidTr="001B460E">
        <w:trPr>
          <w:trHeight w:val="633"/>
          <w:jc w:val="center"/>
        </w:trPr>
        <w:tc>
          <w:tcPr>
            <w:tcW w:w="1798" w:type="dxa"/>
            <w:shd w:val="clear" w:color="auto" w:fill="9CC2E5" w:themeFill="accent5" w:themeFillTint="99"/>
            <w:vAlign w:val="center"/>
          </w:tcPr>
          <w:p w14:paraId="36318A44" w14:textId="77777777" w:rsidR="0050723E" w:rsidRPr="00594E6B" w:rsidRDefault="0050723E" w:rsidP="00AA7571">
            <w:pPr>
              <w:spacing w:line="259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Kritérium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25922B45" w14:textId="77777777" w:rsidR="0050723E" w:rsidRPr="00594E6B" w:rsidRDefault="0050723E" w:rsidP="00AA7571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Popis preferenčního kritéria</w:t>
            </w:r>
          </w:p>
        </w:tc>
        <w:tc>
          <w:tcPr>
            <w:tcW w:w="2006" w:type="dxa"/>
            <w:gridSpan w:val="2"/>
            <w:shd w:val="clear" w:color="auto" w:fill="9CC2E5" w:themeFill="accent5" w:themeFillTint="99"/>
            <w:vAlign w:val="center"/>
          </w:tcPr>
          <w:p w14:paraId="7392C45D" w14:textId="77777777" w:rsidR="0050723E" w:rsidRPr="00594E6B" w:rsidRDefault="0050723E" w:rsidP="00AA757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</w:p>
        </w:tc>
        <w:tc>
          <w:tcPr>
            <w:tcW w:w="3485" w:type="dxa"/>
            <w:gridSpan w:val="2"/>
            <w:shd w:val="clear" w:color="auto" w:fill="9CC2E5" w:themeFill="accent5" w:themeFillTint="99"/>
            <w:vAlign w:val="center"/>
          </w:tcPr>
          <w:p w14:paraId="60841CDE" w14:textId="77777777" w:rsidR="0050723E" w:rsidRPr="00594E6B" w:rsidRDefault="0050723E" w:rsidP="00AA7571">
            <w:pPr>
              <w:spacing w:line="259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Charakteristika přiděleného počtu bodů</w:t>
            </w:r>
          </w:p>
        </w:tc>
        <w:tc>
          <w:tcPr>
            <w:tcW w:w="3280" w:type="dxa"/>
            <w:gridSpan w:val="2"/>
            <w:shd w:val="clear" w:color="auto" w:fill="9CC2E5" w:themeFill="accent5" w:themeFillTint="99"/>
            <w:vAlign w:val="center"/>
          </w:tcPr>
          <w:p w14:paraId="47545EDE" w14:textId="77777777" w:rsidR="0050723E" w:rsidRPr="00594E6B" w:rsidRDefault="0050723E" w:rsidP="00AA7571">
            <w:pPr>
              <w:spacing w:line="259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E6B">
              <w:rPr>
                <w:rFonts w:asciiTheme="minorHAnsi" w:hAnsiTheme="minorHAnsi" w:cstheme="minorHAnsi"/>
                <w:sz w:val="20"/>
                <w:szCs w:val="20"/>
              </w:rPr>
              <w:t>Referenční dokumenty</w:t>
            </w:r>
          </w:p>
        </w:tc>
      </w:tr>
      <w:tr w:rsidR="00B047DE" w:rsidRPr="00594E6B" w14:paraId="4FFE3431" w14:textId="77777777" w:rsidTr="001B460E">
        <w:trPr>
          <w:trHeight w:hRule="exact" w:val="927"/>
          <w:jc w:val="center"/>
        </w:trPr>
        <w:tc>
          <w:tcPr>
            <w:tcW w:w="1798" w:type="dxa"/>
            <w:vMerge w:val="restart"/>
            <w:shd w:val="clear" w:color="auto" w:fill="DEEAF6" w:themeFill="accent5" w:themeFillTint="33"/>
            <w:vAlign w:val="center"/>
          </w:tcPr>
          <w:p w14:paraId="4114D447" w14:textId="77777777" w:rsidR="00B047DE" w:rsidRPr="001B460E" w:rsidRDefault="00B047DE" w:rsidP="00B047DE">
            <w:pPr>
              <w:ind w:left="2"/>
              <w:jc w:val="center"/>
              <w:rPr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3.</w:t>
            </w:r>
          </w:p>
          <w:p w14:paraId="57208F31" w14:textId="77777777" w:rsidR="00B047DE" w:rsidRPr="001B460E" w:rsidRDefault="00B047DE" w:rsidP="00B047DE">
            <w:pPr>
              <w:ind w:left="2"/>
              <w:jc w:val="center"/>
              <w:rPr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Finanční náročnost projektu</w:t>
            </w:r>
          </w:p>
          <w:p w14:paraId="17223E1E" w14:textId="77777777" w:rsidR="00B047DE" w:rsidRPr="001B460E" w:rsidRDefault="00B047DE" w:rsidP="00B047DE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7B5CD48" w14:textId="77777777" w:rsidR="00B047DE" w:rsidRPr="001B460E" w:rsidRDefault="00B047DE" w:rsidP="00B047DE">
            <w:pPr>
              <w:spacing w:line="255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B460E">
              <w:rPr>
                <w:rFonts w:asciiTheme="minorHAnsi" w:hAnsiTheme="minorHAnsi" w:cstheme="minorHAnsi"/>
                <w:b w:val="0"/>
                <w:sz w:val="20"/>
                <w:szCs w:val="20"/>
              </w:rPr>
              <w:t>Celkové způsobilé výdaje, ze kterých je stanovena dotace, jsou ve výši do 2 000 000 Kč včetně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910877" w14:textId="77777777" w:rsidR="00B047DE" w:rsidRPr="001B460E" w:rsidRDefault="00B047DE" w:rsidP="00B047DE">
            <w:pPr>
              <w:ind w:left="22"/>
              <w:jc w:val="center"/>
              <w:rPr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15</w:t>
            </w:r>
          </w:p>
          <w:p w14:paraId="3AFE97BF" w14:textId="77777777" w:rsidR="00B047DE" w:rsidRPr="001B460E" w:rsidRDefault="00B047DE" w:rsidP="00B047DE">
            <w:pPr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vMerge w:val="restart"/>
            <w:shd w:val="clear" w:color="auto" w:fill="FFFFFF"/>
            <w:vAlign w:val="center"/>
          </w:tcPr>
          <w:p w14:paraId="54103E0C" w14:textId="77777777" w:rsidR="00B047DE" w:rsidRPr="001B460E" w:rsidRDefault="00B047DE" w:rsidP="00B047DE">
            <w:pPr>
              <w:ind w:right="2"/>
              <w:rPr>
                <w:b w:val="0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Počet bodů bude přidělen podle výše celkových způsobilých výdajů uvedených v referenčních dokumentech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  <w:vAlign w:val="center"/>
          </w:tcPr>
          <w:p w14:paraId="0E292D07" w14:textId="77777777" w:rsidR="00B047DE" w:rsidRPr="001B460E" w:rsidRDefault="00B047DE" w:rsidP="00B047DE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Žádost o dotaci</w:t>
            </w:r>
          </w:p>
          <w:p w14:paraId="5CB110C6" w14:textId="77777777" w:rsidR="00B047DE" w:rsidRPr="001B460E" w:rsidRDefault="00B047DE" w:rsidP="00B047DE">
            <w:pPr>
              <w:ind w:left="6"/>
              <w:jc w:val="center"/>
              <w:rPr>
                <w:b w:val="0"/>
                <w:sz w:val="20"/>
                <w:szCs w:val="20"/>
              </w:rPr>
            </w:pPr>
          </w:p>
          <w:p w14:paraId="0FDD74B8" w14:textId="77777777" w:rsidR="00B047DE" w:rsidRPr="001B460E" w:rsidRDefault="00B047DE" w:rsidP="00B047DE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Rozpočet projektu</w:t>
            </w:r>
          </w:p>
          <w:p w14:paraId="3DD362D4" w14:textId="77777777" w:rsidR="00B047DE" w:rsidRPr="001B460E" w:rsidRDefault="00B047DE" w:rsidP="00B047DE">
            <w:pPr>
              <w:ind w:left="6"/>
              <w:jc w:val="center"/>
              <w:rPr>
                <w:b w:val="0"/>
                <w:sz w:val="20"/>
                <w:szCs w:val="20"/>
              </w:rPr>
            </w:pPr>
          </w:p>
          <w:p w14:paraId="71832A64" w14:textId="77777777" w:rsidR="00B047DE" w:rsidRPr="001B460E" w:rsidRDefault="00B047DE" w:rsidP="00B047DE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Studie proveditelnosti</w:t>
            </w:r>
            <w:r w:rsidR="006758C3">
              <w:rPr>
                <w:b w:val="0"/>
                <w:sz w:val="20"/>
                <w:szCs w:val="20"/>
              </w:rPr>
              <w:t xml:space="preserve"> – kapitola </w:t>
            </w:r>
            <w:r w:rsidR="006758C3">
              <w:rPr>
                <w:b w:val="0"/>
                <w:sz w:val="20"/>
                <w:szCs w:val="20"/>
              </w:rPr>
              <w:br/>
              <w:t>11. Finanční analýza</w:t>
            </w:r>
          </w:p>
        </w:tc>
      </w:tr>
      <w:tr w:rsidR="00B047DE" w:rsidRPr="00594E6B" w14:paraId="5A545131" w14:textId="77777777" w:rsidTr="001B460E">
        <w:trPr>
          <w:trHeight w:hRule="exact" w:val="855"/>
          <w:jc w:val="center"/>
        </w:trPr>
        <w:tc>
          <w:tcPr>
            <w:tcW w:w="1798" w:type="dxa"/>
            <w:vMerge/>
            <w:shd w:val="clear" w:color="auto" w:fill="DEEAF6" w:themeFill="accent5" w:themeFillTint="33"/>
            <w:vAlign w:val="center"/>
          </w:tcPr>
          <w:p w14:paraId="66250AFF" w14:textId="77777777" w:rsidR="00B047DE" w:rsidRPr="001B460E" w:rsidRDefault="00B047DE" w:rsidP="00B047DE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623D89D" w14:textId="77777777" w:rsidR="00B047DE" w:rsidRPr="001B460E" w:rsidRDefault="00B047DE" w:rsidP="00B047D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Celkové způsobilé výdaje, ze kterých je stanovena dotace, jsou ve výši </w:t>
            </w: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br/>
            </w:r>
            <w:r w:rsidR="001508DD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více než</w:t>
            </w: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 2 000 00</w:t>
            </w:r>
            <w:r w:rsidR="00FB6708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 Kč do 3 000 000 Kč včetně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39E22B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B460E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3499" w:type="dxa"/>
            <w:gridSpan w:val="2"/>
            <w:vMerge/>
            <w:shd w:val="clear" w:color="auto" w:fill="FFFFFF"/>
            <w:vAlign w:val="center"/>
          </w:tcPr>
          <w:p w14:paraId="7FA64B02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14:paraId="29987F31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B047DE" w:rsidRPr="00594E6B" w14:paraId="68C97FC4" w14:textId="77777777" w:rsidTr="001B460E">
        <w:trPr>
          <w:trHeight w:hRule="exact" w:val="852"/>
          <w:jc w:val="center"/>
        </w:trPr>
        <w:tc>
          <w:tcPr>
            <w:tcW w:w="1798" w:type="dxa"/>
            <w:vMerge/>
            <w:shd w:val="clear" w:color="auto" w:fill="DEEAF6" w:themeFill="accent5" w:themeFillTint="33"/>
          </w:tcPr>
          <w:p w14:paraId="6FBBAF32" w14:textId="77777777" w:rsidR="00B047DE" w:rsidRPr="001B460E" w:rsidRDefault="00B047DE" w:rsidP="00B047DE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E3D0EAC" w14:textId="77777777" w:rsidR="00B047DE" w:rsidRPr="001B460E" w:rsidRDefault="00B047DE" w:rsidP="00B047D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</w:pP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Celkové způsobilé výdaje, ze kterých je stanovena dotace, jsou ve výši </w:t>
            </w:r>
          </w:p>
          <w:p w14:paraId="5768998D" w14:textId="6712776C" w:rsidR="00B047DE" w:rsidRPr="001B460E" w:rsidRDefault="00962E5D" w:rsidP="00962E5D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v</w:t>
            </w:r>
            <w:bookmarkStart w:id="0" w:name="_GoBack"/>
            <w:bookmarkEnd w:id="0"/>
            <w:r w:rsidR="001508DD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íce než</w:t>
            </w:r>
            <w:r w:rsidR="00FB6708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B047DE"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3 000 00</w:t>
            </w:r>
            <w:r w:rsidR="00FB6708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="00B047DE"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 Kč </w:t>
            </w:r>
            <w:r w:rsidR="00FB6708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do</w:t>
            </w:r>
            <w:r w:rsidR="00B047DE"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 4 500 000 Kč včetně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D7917C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B460E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</w:tc>
        <w:tc>
          <w:tcPr>
            <w:tcW w:w="3499" w:type="dxa"/>
            <w:gridSpan w:val="2"/>
            <w:vMerge/>
            <w:shd w:val="clear" w:color="auto" w:fill="FFFFFF"/>
            <w:vAlign w:val="center"/>
          </w:tcPr>
          <w:p w14:paraId="02F52508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</w:tcPr>
          <w:p w14:paraId="119A555D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B047DE" w:rsidRPr="00594E6B" w14:paraId="3791558A" w14:textId="77777777" w:rsidTr="00DC0839">
        <w:trPr>
          <w:trHeight w:hRule="exact" w:val="689"/>
          <w:jc w:val="center"/>
        </w:trPr>
        <w:tc>
          <w:tcPr>
            <w:tcW w:w="1798" w:type="dxa"/>
            <w:vMerge/>
            <w:shd w:val="clear" w:color="auto" w:fill="DEEAF6" w:themeFill="accent5" w:themeFillTint="33"/>
          </w:tcPr>
          <w:p w14:paraId="15376EC7" w14:textId="77777777" w:rsidR="00B047DE" w:rsidRPr="001B460E" w:rsidRDefault="00B047DE" w:rsidP="00B047DE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AA18357" w14:textId="77777777" w:rsidR="00B047DE" w:rsidRPr="001B460E" w:rsidRDefault="00B047DE" w:rsidP="00DC0839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Celkové způsobilé výdaje, ze kterých j</w:t>
            </w:r>
            <w:r w:rsidR="00DC0839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e stanovena dotace, jsou vyšší </w:t>
            </w: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 xml:space="preserve">než 4 </w:t>
            </w:r>
            <w:r w:rsidR="00A82C3F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5</w:t>
            </w: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00 000 Kč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38592C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B460E">
              <w:rPr>
                <w:rFonts w:asciiTheme="minorHAnsi" w:hAnsiTheme="minorHAnsi" w:cs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3499" w:type="dxa"/>
            <w:gridSpan w:val="2"/>
            <w:vMerge/>
            <w:shd w:val="clear" w:color="auto" w:fill="FFFFFF"/>
            <w:vAlign w:val="bottom"/>
          </w:tcPr>
          <w:p w14:paraId="19C1F282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</w:tcPr>
          <w:p w14:paraId="40813314" w14:textId="77777777" w:rsidR="00B047DE" w:rsidRPr="001B460E" w:rsidRDefault="00B047DE" w:rsidP="00B047D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B460E" w:rsidRPr="00594E6B" w14:paraId="1CCFFB08" w14:textId="77777777" w:rsidTr="007E6230">
        <w:trPr>
          <w:cantSplit/>
          <w:trHeight w:val="673"/>
          <w:jc w:val="center"/>
        </w:trPr>
        <w:tc>
          <w:tcPr>
            <w:tcW w:w="1798" w:type="dxa"/>
            <w:vMerge w:val="restart"/>
            <w:shd w:val="clear" w:color="auto" w:fill="DEEAF6" w:themeFill="accent5" w:themeFillTint="33"/>
            <w:vAlign w:val="center"/>
          </w:tcPr>
          <w:p w14:paraId="5D8B6FB7" w14:textId="77777777" w:rsidR="001B460E" w:rsidRPr="001B460E" w:rsidRDefault="001B460E" w:rsidP="001B460E">
            <w:pPr>
              <w:ind w:left="2"/>
              <w:jc w:val="center"/>
              <w:rPr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4.</w:t>
            </w:r>
          </w:p>
          <w:p w14:paraId="49499E7D" w14:textId="77777777" w:rsidR="001B460E" w:rsidRPr="001B460E" w:rsidRDefault="001B460E" w:rsidP="001B460E">
            <w:pPr>
              <w:ind w:lef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Rekonstrukce stávajícího objektu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52078A" w14:textId="77777777" w:rsidR="001B460E" w:rsidRPr="001B460E" w:rsidRDefault="001B460E" w:rsidP="001B4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Projekt je zaměřen na rekonstrukci stávající stanice integrovaného záchranného systému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802B6" w14:textId="77777777" w:rsidR="001B460E" w:rsidRPr="001B460E" w:rsidRDefault="001B460E" w:rsidP="00AA7571">
            <w:pPr>
              <w:ind w:left="22"/>
              <w:jc w:val="center"/>
              <w:rPr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4"/>
            <w:vMerge w:val="restart"/>
            <w:shd w:val="clear" w:color="auto" w:fill="auto"/>
            <w:vAlign w:val="center"/>
          </w:tcPr>
          <w:p w14:paraId="5E8CE831" w14:textId="77777777" w:rsidR="001B460E" w:rsidRPr="001B460E" w:rsidRDefault="001B460E" w:rsidP="001B460E">
            <w:pPr>
              <w:rPr>
                <w:rFonts w:asciiTheme="minorHAnsi" w:hAnsiTheme="minorHAnsi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Body budou přiděleny v případě, že se projekt zaměřuje na rekonstrukci stávající stanice</w:t>
            </w:r>
          </w:p>
        </w:tc>
        <w:tc>
          <w:tcPr>
            <w:tcW w:w="3272" w:type="dxa"/>
            <w:vMerge w:val="restart"/>
            <w:shd w:val="clear" w:color="auto" w:fill="auto"/>
            <w:vAlign w:val="center"/>
          </w:tcPr>
          <w:p w14:paraId="5EB4852D" w14:textId="77777777" w:rsidR="001B460E" w:rsidRPr="001B460E" w:rsidRDefault="001B460E" w:rsidP="001B460E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Žádost o dotaci</w:t>
            </w:r>
          </w:p>
          <w:p w14:paraId="4E660655" w14:textId="77777777" w:rsidR="001B460E" w:rsidRPr="001B460E" w:rsidRDefault="001B460E" w:rsidP="001B460E">
            <w:pPr>
              <w:ind w:left="6"/>
              <w:jc w:val="center"/>
              <w:rPr>
                <w:b w:val="0"/>
                <w:sz w:val="20"/>
                <w:szCs w:val="20"/>
              </w:rPr>
            </w:pPr>
          </w:p>
          <w:p w14:paraId="3B0DD5CD" w14:textId="77777777" w:rsidR="001B460E" w:rsidRPr="001B460E" w:rsidRDefault="001B460E" w:rsidP="001B460E">
            <w:pPr>
              <w:ind w:left="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460E">
              <w:rPr>
                <w:b w:val="0"/>
                <w:sz w:val="20"/>
                <w:szCs w:val="20"/>
              </w:rPr>
              <w:t>Studie proveditelnosti</w:t>
            </w:r>
            <w:r w:rsidR="006758C3">
              <w:rPr>
                <w:b w:val="0"/>
                <w:sz w:val="20"/>
                <w:szCs w:val="20"/>
              </w:rPr>
              <w:t xml:space="preserve"> – kapitola </w:t>
            </w:r>
            <w:r w:rsidR="006758C3">
              <w:rPr>
                <w:b w:val="0"/>
                <w:sz w:val="20"/>
                <w:szCs w:val="20"/>
              </w:rPr>
              <w:br/>
              <w:t>4. Podrobný popis projektu</w:t>
            </w:r>
          </w:p>
        </w:tc>
      </w:tr>
      <w:tr w:rsidR="001B460E" w:rsidRPr="00594E6B" w14:paraId="0E0564BB" w14:textId="77777777" w:rsidTr="007E6230">
        <w:trPr>
          <w:cantSplit/>
          <w:trHeight w:val="393"/>
          <w:jc w:val="center"/>
        </w:trPr>
        <w:tc>
          <w:tcPr>
            <w:tcW w:w="1798" w:type="dxa"/>
            <w:vMerge/>
            <w:shd w:val="clear" w:color="auto" w:fill="DEEAF6" w:themeFill="accent5" w:themeFillTint="33"/>
            <w:vAlign w:val="center"/>
          </w:tcPr>
          <w:p w14:paraId="71DE2869" w14:textId="77777777" w:rsidR="001B460E" w:rsidRPr="001B460E" w:rsidRDefault="001B460E" w:rsidP="001B460E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C1416C" w14:textId="77777777" w:rsidR="001B460E" w:rsidRPr="001B460E" w:rsidRDefault="001B460E" w:rsidP="00DC0839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1B460E">
              <w:rPr>
                <w:rFonts w:asciiTheme="minorHAnsi" w:eastAsiaTheme="minorEastAsia" w:hAnsiTheme="minorHAnsi" w:cstheme="minorHAnsi"/>
                <w:b w:val="0"/>
                <w:color w:val="auto"/>
                <w:sz w:val="20"/>
                <w:szCs w:val="20"/>
              </w:rPr>
              <w:t>Projekt je zaměřen na výstavbu nové stanice integrovaného záchranného systému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7C10B" w14:textId="77777777" w:rsidR="001B460E" w:rsidRPr="001B460E" w:rsidRDefault="001B460E" w:rsidP="001B460E">
            <w:pPr>
              <w:ind w:left="7"/>
              <w:jc w:val="center"/>
              <w:rPr>
                <w:sz w:val="20"/>
                <w:szCs w:val="20"/>
              </w:rPr>
            </w:pPr>
            <w:r w:rsidRPr="001B460E">
              <w:rPr>
                <w:sz w:val="20"/>
                <w:szCs w:val="20"/>
              </w:rPr>
              <w:t>0</w:t>
            </w:r>
          </w:p>
        </w:tc>
        <w:tc>
          <w:tcPr>
            <w:tcW w:w="3515" w:type="dxa"/>
            <w:gridSpan w:val="4"/>
            <w:vMerge/>
            <w:shd w:val="clear" w:color="auto" w:fill="auto"/>
            <w:vAlign w:val="center"/>
          </w:tcPr>
          <w:p w14:paraId="0DB5CA18" w14:textId="77777777" w:rsidR="001B460E" w:rsidRPr="001B460E" w:rsidRDefault="001B460E" w:rsidP="001B460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272" w:type="dxa"/>
            <w:vMerge/>
            <w:shd w:val="clear" w:color="auto" w:fill="auto"/>
            <w:vAlign w:val="center"/>
          </w:tcPr>
          <w:p w14:paraId="1216C161" w14:textId="77777777" w:rsidR="001B460E" w:rsidRPr="001B460E" w:rsidRDefault="001B460E" w:rsidP="001B460E">
            <w:pPr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1B460E" w:rsidRPr="00594E6B" w14:paraId="203BE67D" w14:textId="77777777" w:rsidTr="001B460E">
        <w:trPr>
          <w:cantSplit/>
          <w:trHeight w:val="648"/>
          <w:jc w:val="center"/>
        </w:trPr>
        <w:tc>
          <w:tcPr>
            <w:tcW w:w="14538" w:type="dxa"/>
            <w:gridSpan w:val="8"/>
            <w:shd w:val="clear" w:color="auto" w:fill="auto"/>
            <w:vAlign w:val="center"/>
          </w:tcPr>
          <w:p w14:paraId="7FF62023" w14:textId="77777777" w:rsidR="001B460E" w:rsidRPr="001B460E" w:rsidRDefault="001B460E" w:rsidP="00A82C3F">
            <w:pPr>
              <w:pStyle w:val="Bezmez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460E">
              <w:rPr>
                <w:rFonts w:asciiTheme="minorHAnsi" w:hAnsiTheme="minorHAnsi"/>
                <w:sz w:val="24"/>
                <w:szCs w:val="24"/>
              </w:rPr>
              <w:t xml:space="preserve">Maximální počet bodů pro získání podpory: </w:t>
            </w:r>
            <w:r w:rsidR="00A82C3F">
              <w:rPr>
                <w:rFonts w:asciiTheme="minorHAnsi" w:hAnsiTheme="minorHAnsi"/>
                <w:sz w:val="24"/>
                <w:szCs w:val="24"/>
              </w:rPr>
              <w:t>6</w:t>
            </w:r>
            <w:r w:rsidRPr="001B460E">
              <w:rPr>
                <w:rFonts w:asciiTheme="minorHAnsi" w:hAnsiTheme="minorHAnsi"/>
                <w:sz w:val="24"/>
                <w:szCs w:val="24"/>
              </w:rPr>
              <w:t xml:space="preserve">0 / minimální počet bodů pro získání podpory: </w:t>
            </w:r>
            <w:r w:rsidR="00A82C3F">
              <w:rPr>
                <w:rFonts w:asciiTheme="minorHAnsi" w:hAnsiTheme="minorHAnsi"/>
                <w:sz w:val="24"/>
                <w:szCs w:val="24"/>
              </w:rPr>
              <w:t>3</w:t>
            </w:r>
            <w:r w:rsidRPr="001B460E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</w:tbl>
    <w:p w14:paraId="350601FB" w14:textId="77777777" w:rsidR="0050723E" w:rsidRDefault="0050723E" w:rsidP="00B63A45">
      <w:pPr>
        <w:ind w:right="569"/>
      </w:pPr>
    </w:p>
    <w:p w14:paraId="4286D958" w14:textId="77777777" w:rsidR="0050723E" w:rsidRDefault="0050723E" w:rsidP="00B63A45">
      <w:pPr>
        <w:ind w:right="569"/>
      </w:pPr>
    </w:p>
    <w:sectPr w:rsidR="0050723E" w:rsidSect="00B63A45">
      <w:headerReference w:type="default" r:id="rId10"/>
      <w:footerReference w:type="default" r:id="rId11"/>
      <w:pgSz w:w="16838" w:h="11906" w:orient="landscape"/>
      <w:pgMar w:top="2009" w:right="790" w:bottom="1186" w:left="852" w:header="397" w:footer="283" w:gutter="0"/>
      <w:cols w:space="708"/>
      <w:docGrid w:linePitch="3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3AD1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3AD1D3" w16cid:durableId="1F561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E209B" w14:textId="77777777" w:rsidR="001C3EB6" w:rsidRDefault="001C3EB6" w:rsidP="00C53278">
      <w:pPr>
        <w:spacing w:line="240" w:lineRule="auto"/>
      </w:pPr>
      <w:r>
        <w:separator/>
      </w:r>
    </w:p>
  </w:endnote>
  <w:endnote w:type="continuationSeparator" w:id="0">
    <w:p w14:paraId="3E6C24A2" w14:textId="77777777" w:rsidR="001C3EB6" w:rsidRDefault="001C3EB6" w:rsidP="00C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86031"/>
      <w:docPartObj>
        <w:docPartGallery w:val="Page Numbers (Bottom of Page)"/>
        <w:docPartUnique/>
      </w:docPartObj>
    </w:sdtPr>
    <w:sdtEndPr/>
    <w:sdtContent>
      <w:p w14:paraId="273CA2BF" w14:textId="77777777" w:rsidR="0004102A" w:rsidRDefault="0004102A" w:rsidP="000410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27">
          <w:rPr>
            <w:noProof/>
          </w:rPr>
          <w:t>2</w:t>
        </w:r>
        <w:r>
          <w:fldChar w:fldCharType="end"/>
        </w:r>
        <w:r>
          <w:t xml:space="preserve"> / 2</w:t>
        </w:r>
      </w:p>
    </w:sdtContent>
  </w:sdt>
  <w:p w14:paraId="5C3C3853" w14:textId="77777777" w:rsidR="0004102A" w:rsidRDefault="000410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C6CBC" w14:textId="77777777" w:rsidR="001C3EB6" w:rsidRDefault="001C3EB6" w:rsidP="00C53278">
      <w:pPr>
        <w:spacing w:line="240" w:lineRule="auto"/>
      </w:pPr>
      <w:r>
        <w:separator/>
      </w:r>
    </w:p>
  </w:footnote>
  <w:footnote w:type="continuationSeparator" w:id="0">
    <w:p w14:paraId="468A0623" w14:textId="77777777" w:rsidR="001C3EB6" w:rsidRDefault="001C3EB6" w:rsidP="00C5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D302F" w14:textId="77777777" w:rsidR="00C53278" w:rsidRDefault="008F4208">
    <w:pPr>
      <w:pStyle w:val="Zhlav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7529B2F0" wp14:editId="5BC29194">
          <wp:simplePos x="0" y="0"/>
          <wp:positionH relativeFrom="column">
            <wp:posOffset>8286750</wp:posOffset>
          </wp:positionH>
          <wp:positionV relativeFrom="page">
            <wp:posOffset>177165</wp:posOffset>
          </wp:positionV>
          <wp:extent cx="979200" cy="666000"/>
          <wp:effectExtent l="0" t="0" r="0" b="127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Z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257C649" wp14:editId="0C5ED177">
          <wp:simplePos x="0" y="0"/>
          <wp:positionH relativeFrom="page">
            <wp:posOffset>312420</wp:posOffset>
          </wp:positionH>
          <wp:positionV relativeFrom="page">
            <wp:posOffset>29210</wp:posOffset>
          </wp:positionV>
          <wp:extent cx="6101715" cy="1005840"/>
          <wp:effectExtent l="0" t="0" r="0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8E1"/>
    <w:multiLevelType w:val="hybridMultilevel"/>
    <w:tmpl w:val="E73EF5FC"/>
    <w:lvl w:ilvl="0" w:tplc="C930C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bos Brudna">
    <w15:presenceInfo w15:providerId="Windows Live" w15:userId="473a53fd2098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5"/>
    <w:rsid w:val="0000135D"/>
    <w:rsid w:val="00040924"/>
    <w:rsid w:val="0004102A"/>
    <w:rsid w:val="00066C2B"/>
    <w:rsid w:val="0007391D"/>
    <w:rsid w:val="000926CD"/>
    <w:rsid w:val="000D3FF9"/>
    <w:rsid w:val="00105E14"/>
    <w:rsid w:val="001508DD"/>
    <w:rsid w:val="00161E5C"/>
    <w:rsid w:val="001B1F4C"/>
    <w:rsid w:val="001B460E"/>
    <w:rsid w:val="001C3EB6"/>
    <w:rsid w:val="00240CD5"/>
    <w:rsid w:val="002A388D"/>
    <w:rsid w:val="002A6ED0"/>
    <w:rsid w:val="002E2B78"/>
    <w:rsid w:val="00313A2D"/>
    <w:rsid w:val="0031400F"/>
    <w:rsid w:val="0038444E"/>
    <w:rsid w:val="00385270"/>
    <w:rsid w:val="0042613D"/>
    <w:rsid w:val="00456006"/>
    <w:rsid w:val="00464867"/>
    <w:rsid w:val="0050723E"/>
    <w:rsid w:val="00594E6B"/>
    <w:rsid w:val="005C0A18"/>
    <w:rsid w:val="006758C3"/>
    <w:rsid w:val="00730F08"/>
    <w:rsid w:val="007417E2"/>
    <w:rsid w:val="007722B6"/>
    <w:rsid w:val="007E6230"/>
    <w:rsid w:val="007F70EA"/>
    <w:rsid w:val="00825689"/>
    <w:rsid w:val="00860E20"/>
    <w:rsid w:val="008A54B9"/>
    <w:rsid w:val="008A7B5C"/>
    <w:rsid w:val="008C7979"/>
    <w:rsid w:val="008F4208"/>
    <w:rsid w:val="009237E2"/>
    <w:rsid w:val="00962E5D"/>
    <w:rsid w:val="009C1CD7"/>
    <w:rsid w:val="009D48D2"/>
    <w:rsid w:val="009F3A61"/>
    <w:rsid w:val="00A10621"/>
    <w:rsid w:val="00A5722B"/>
    <w:rsid w:val="00A81E4D"/>
    <w:rsid w:val="00A82C3F"/>
    <w:rsid w:val="00A862C6"/>
    <w:rsid w:val="00AE180F"/>
    <w:rsid w:val="00B047DE"/>
    <w:rsid w:val="00B479EA"/>
    <w:rsid w:val="00B63A45"/>
    <w:rsid w:val="00BE6553"/>
    <w:rsid w:val="00C27A40"/>
    <w:rsid w:val="00C27E0B"/>
    <w:rsid w:val="00C53278"/>
    <w:rsid w:val="00CB0120"/>
    <w:rsid w:val="00CC5935"/>
    <w:rsid w:val="00DA51E8"/>
    <w:rsid w:val="00DC0839"/>
    <w:rsid w:val="00DF4FDC"/>
    <w:rsid w:val="00E03E0F"/>
    <w:rsid w:val="00E41706"/>
    <w:rsid w:val="00E55625"/>
    <w:rsid w:val="00E66934"/>
    <w:rsid w:val="00E70206"/>
    <w:rsid w:val="00EA3666"/>
    <w:rsid w:val="00EC304B"/>
    <w:rsid w:val="00ED0792"/>
    <w:rsid w:val="00EF4DAC"/>
    <w:rsid w:val="00F93827"/>
    <w:rsid w:val="00F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7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62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B0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1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120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120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12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62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B0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1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120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120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12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-kralovehradecky.cz/cz/kraj-volene-organy/vyhlasky-narizeni/vestnik-pravnich-predpisu-kralovehradeckeho-kraje-223/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3</cp:revision>
  <cp:lastPrinted>2018-08-14T11:09:00Z</cp:lastPrinted>
  <dcterms:created xsi:type="dcterms:W3CDTF">2018-09-29T21:24:00Z</dcterms:created>
  <dcterms:modified xsi:type="dcterms:W3CDTF">2018-09-29T21:24:00Z</dcterms:modified>
</cp:coreProperties>
</file>